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73E6">
      <w:pPr>
        <w:pStyle w:val="7"/>
        <w:rPr>
          <w:rFonts w:ascii="Times New Roman" w:hAnsi="Times New Roman"/>
          <w:sz w:val="17"/>
        </w:rPr>
      </w:pPr>
    </w:p>
    <w:p w14:paraId="1517FA09">
      <w:pPr>
        <w:spacing w:before="0" w:after="0"/>
        <w:ind w:left="1175" w:right="11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AÇÃO</w:t>
      </w:r>
      <w:r>
        <w:rPr>
          <w:b/>
          <w:spacing w:val="-2"/>
          <w:sz w:val="24"/>
          <w:szCs w:val="24"/>
        </w:rPr>
        <w:t xml:space="preserve"> DE VIGILÂNCIA EM SAÚDE DO TRABALHADOR E POPULAÇÃO RESIDENTE EM ÁREA DE MINERAÇÃO NO ESTADO DE GOIÁS: </w:t>
      </w:r>
      <w:r>
        <w:rPr>
          <w:b/>
          <w:sz w:val="24"/>
          <w:szCs w:val="24"/>
        </w:rPr>
        <w:t xml:space="preserve"> </w:t>
      </w:r>
    </w:p>
    <w:p w14:paraId="320F2565">
      <w:pPr>
        <w:spacing w:before="0" w:after="0"/>
        <w:ind w:left="1175" w:right="11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RELATO DE EXPERIÊNCIA</w:t>
      </w:r>
    </w:p>
    <w:p w14:paraId="1C54393C">
      <w:pPr>
        <w:spacing w:before="51" w:after="160"/>
        <w:ind w:left="1175" w:right="1176"/>
        <w:jc w:val="center"/>
        <w:rPr>
          <w:b/>
          <w:sz w:val="24"/>
          <w:szCs w:val="24"/>
        </w:rPr>
      </w:pPr>
    </w:p>
    <w:p w14:paraId="79E189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Danniella Davidson Castro</w:t>
      </w:r>
      <w:r>
        <w:rPr>
          <w:rStyle w:val="5"/>
          <w:rFonts w:ascii="Arial" w:hAnsi="Arial" w:cs="Arial"/>
          <w:sz w:val="24"/>
          <w:szCs w:val="24"/>
        </w:rPr>
        <w:footnoteReference w:id="0"/>
      </w:r>
    </w:p>
    <w:p w14:paraId="18F8B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Edna Maria Covem</w:t>
      </w:r>
    </w:p>
    <w:p w14:paraId="7DE013A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Nádia Maria Alcanfôr Ximenes</w:t>
      </w:r>
    </w:p>
    <w:p w14:paraId="7F738DE4">
      <w:pPr>
        <w:jc w:val="right"/>
        <w:rPr>
          <w:rFonts w:ascii="Arial" w:hAnsi="Arial" w:cs="Arial"/>
          <w:sz w:val="24"/>
          <w:szCs w:val="24"/>
        </w:rPr>
      </w:pPr>
    </w:p>
    <w:p w14:paraId="4CF86FD2">
      <w:pPr>
        <w:spacing w:before="0" w:after="0" w:line="36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 Estado de Goiás tem uma riqueza mineral em seu território, w a exploração mineral é uma atividade econômica de grande importância no PIB do Estado. Em 2019 foi instituído pela SES/GO o Grupo de Trabalho em Mineração, por meio da Portaria SES nº 159/2019, com a finalidade de formular e coordenar a execução das ações de vigilância em saúde dos trabalhadores e populações residentes em área de mineração no estado. O grupo objetiva identificar os desafios destas áreas, baseando-se na Análise de Situação de Saúde de cada município sede de mineradoras. Inicialmente, foi estabelecida parceria com a Universidade Estadual de Goiás, culminando em Projeto de Pesquisa, apresentado à Fundação de Apoio à Pesquisa do Estado de Goiás para o desenvolvimento de coleta e análise da dados. Dez municípios se destacam: Alto Horizonte, Barro Alto, Catalão, Crixás, Minaçu, Ouvidor, Pilar de Goiás, Faina, Niquelândia e Pirenópolis. Durante as atividades do GT, evidenciou-se a dificuldade de acesso aos dados de saúde dos trabalhadores e da população residente em áreas de mineração, em virtude da incipiente base de dados oficiais. A pandemia, desencadeada pela COVID-19 desarticulou, temporiamente, a execução dos projetos, contudo o grupo se reorganizou em oficinas on-line, com manejo da análise de situação de saúde (ASIS) dos municípios prioritários, revisou os dados coletados que subsidiaram a formulação de um plano de ação para intervenção nos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riscos à saúde, diretos e indiretos, relacionados à atividade de mineração no Estado. Até o momento foram obtidos os seguintes resultados: realizadas ASIS de 05 municípios; 05 eventos de capacitação em investigação de acidente de trabalho em minas; inspeção sanitária em atividades mineradoras de 04 municípios. Os dados obtidos nas inspeções sanitárias foram: 72% dos trabalhadores são do sexo masculino; 61% estão na faixa etária de 19-39 anos; 38,3% com vínculos empregatícios precários. Em relação às atividades, 70% relatam movimentos repetitivos; 65,4% ao esforço mental empregado e 39,5 % referem monotonia. Quando questionados sobre os sintomas e problemas de saúde percebidos, os relatos se encontram no campo dos Transtornos Mentais Relacionados ao Trabalho: 35,8% referem à ansiedade; 33,3% ao estresse; 28,4% ao cansaço mental; 14,8% à irritabilidade e 20,9% à insônia e dificuldade para dormir. Os dados possibilitam concluir que os riscos físicos e os fatores psicossociais são problemas de saúde percebidos pelos trabalhadores e relacionados à atividade na mineração do Estado de Goiás.</w:t>
      </w:r>
    </w:p>
    <w:p w14:paraId="2554F30B">
      <w:pPr>
        <w:tabs>
          <w:tab w:val="left" w:pos="498"/>
        </w:tabs>
        <w:ind w:left="-123" w:right="226"/>
        <w:jc w:val="both"/>
        <w:rPr>
          <w:rFonts w:ascii="Arial" w:hAnsi="Arial" w:cs="Arial"/>
          <w:sz w:val="24"/>
          <w:szCs w:val="24"/>
        </w:rPr>
      </w:pPr>
    </w:p>
    <w:p w14:paraId="1FAB0A11">
      <w:pPr>
        <w:tabs>
          <w:tab w:val="left" w:pos="498"/>
        </w:tabs>
        <w:spacing w:line="360" w:lineRule="auto"/>
        <w:ind w:left="357" w:leftChars="109" w:right="226" w:hanging="117" w:hangingChars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Recomendações:</w:t>
      </w:r>
    </w:p>
    <w:p w14:paraId="1D5CBCF4">
      <w:pPr>
        <w:tabs>
          <w:tab w:val="left" w:pos="498"/>
        </w:tabs>
        <w:spacing w:line="360" w:lineRule="auto"/>
        <w:ind w:left="359" w:leftChars="163" w:right="226" w:firstLine="120" w:firstLineChars="5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ab/>
        <w:t/>
      </w:r>
      <w:r>
        <w:rPr>
          <w:rFonts w:hint="default" w:ascii="Arial" w:hAnsi="Arial" w:cs="Arial"/>
          <w:sz w:val="24"/>
          <w:szCs w:val="24"/>
          <w:lang w:val="pt-BR"/>
        </w:rPr>
        <w:tab/>
        <w:t/>
      </w:r>
      <w:r>
        <w:rPr>
          <w:rFonts w:hint="default" w:ascii="Arial" w:hAnsi="Arial" w:cs="Arial"/>
          <w:sz w:val="24"/>
          <w:szCs w:val="24"/>
          <w:lang w:val="pt-BR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 desenvolvimento de ações neste setor produtivo exige equipe de vigilância em saúde do trabalhador estruturada e qualificada para realização de fiscalizações sanitárias em ambientes de trabalho com riscos de acidentes de trabalho tanto para os trabalhadores que ali realizam suas atividades </w:t>
      </w:r>
      <w:r>
        <w:rPr>
          <w:rFonts w:hint="default" w:ascii="Arial" w:hAnsi="Arial" w:cs="Arial"/>
          <w:sz w:val="24"/>
          <w:szCs w:val="24"/>
          <w:lang w:val="pt-BR"/>
        </w:rPr>
        <w:t>q</w:t>
      </w:r>
      <w:r>
        <w:rPr>
          <w:rFonts w:ascii="Arial" w:hAnsi="Arial" w:cs="Arial"/>
          <w:sz w:val="24"/>
          <w:szCs w:val="24"/>
        </w:rPr>
        <w:t>uanto para os fiscais sanitários</w:t>
      </w:r>
      <w:r>
        <w:rPr>
          <w:rFonts w:hint="default" w:ascii="Arial" w:hAnsi="Arial" w:cs="Arial"/>
          <w:sz w:val="24"/>
          <w:szCs w:val="24"/>
          <w:lang w:val="pt-BR"/>
        </w:rPr>
        <w:t xml:space="preserve">. Importante também envolver as equipes do CEREST Regional e da Secretaria de Saúde do Município onde está situada a empresa mineradora. </w:t>
      </w:r>
    </w:p>
    <w:p w14:paraId="6317E166">
      <w:pPr>
        <w:tabs>
          <w:tab w:val="left" w:pos="498"/>
        </w:tabs>
        <w:ind w:left="-123" w:right="226"/>
        <w:jc w:val="both"/>
        <w:rPr>
          <w:rFonts w:ascii="Arial" w:hAnsi="Arial" w:cs="Arial"/>
          <w:sz w:val="24"/>
          <w:szCs w:val="24"/>
        </w:rPr>
      </w:pPr>
    </w:p>
    <w:p w14:paraId="0EA8B505">
      <w:pPr>
        <w:tabs>
          <w:tab w:val="left" w:pos="498"/>
        </w:tabs>
        <w:ind w:left="-123" w:right="226"/>
        <w:jc w:val="both"/>
        <w:rPr>
          <w:rFonts w:ascii="Arial" w:hAnsi="Arial" w:cs="Arial"/>
          <w:sz w:val="24"/>
          <w:szCs w:val="24"/>
        </w:rPr>
      </w:pPr>
    </w:p>
    <w:p w14:paraId="22F2BD0D">
      <w:pPr>
        <w:tabs>
          <w:tab w:val="left" w:pos="498"/>
        </w:tabs>
        <w:ind w:left="-123" w:right="226"/>
        <w:jc w:val="both"/>
        <w:rPr>
          <w:rFonts w:ascii="Arial" w:hAnsi="Arial" w:cs="Arial"/>
          <w:sz w:val="24"/>
          <w:szCs w:val="24"/>
        </w:rPr>
      </w:pPr>
    </w:p>
    <w:p w14:paraId="67B2C3E3">
      <w:pPr>
        <w:tabs>
          <w:tab w:val="left" w:pos="498"/>
        </w:tabs>
        <w:ind w:left="-123" w:right="226"/>
        <w:jc w:val="both"/>
        <w:rPr>
          <w:rFonts w:ascii="Arial" w:hAnsi="Arial" w:cs="Arial"/>
          <w:sz w:val="24"/>
          <w:szCs w:val="24"/>
        </w:rPr>
      </w:pPr>
    </w:p>
    <w:p w14:paraId="42A4730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15CF7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5832DA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C2DBF4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2BBE465">
      <w:pPr>
        <w:pStyle w:val="7"/>
        <w:spacing w:before="4" w:after="0"/>
        <w:rPr>
          <w:sz w:val="15"/>
        </w:rPr>
      </w:pPr>
    </w:p>
    <w:p w14:paraId="57EF19C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89CC3AE">
      <w:pPr>
        <w:ind w:firstLine="708"/>
        <w:jc w:val="both"/>
      </w:pPr>
    </w:p>
    <w:p w14:paraId="680B400C">
      <w:pPr>
        <w:ind w:firstLine="708"/>
        <w:jc w:val="both"/>
      </w:pPr>
    </w:p>
    <w:p w14:paraId="03AF212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21366B8">
      <w:pPr>
        <w:spacing w:before="0" w:after="160"/>
        <w:ind w:firstLine="708"/>
        <w:jc w:val="both"/>
        <w:rPr>
          <w:sz w:val="24"/>
          <w:szCs w:val="24"/>
        </w:rPr>
      </w:pPr>
    </w:p>
    <w:sectPr>
      <w:headerReference r:id="rId5" w:type="default"/>
      <w:footerReference r:id="rId6" w:type="default"/>
      <w:footnotePr>
        <w:numFmt w:val="decimal"/>
      </w:footnotePr>
      <w:pgSz w:w="11906" w:h="16838"/>
      <w:pgMar w:top="1417" w:right="1701" w:bottom="1417" w:left="1701" w:header="708" w:footer="708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4CE0D">
    <w:pPr>
      <w:pStyle w:val="7"/>
      <w:spacing w:line="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6908165</wp:posOffset>
              </wp:positionH>
              <wp:positionV relativeFrom="page">
                <wp:posOffset>10001250</wp:posOffset>
              </wp:positionV>
              <wp:extent cx="152400" cy="194310"/>
              <wp:effectExtent l="0" t="0" r="0" b="0"/>
              <wp:wrapNone/>
              <wp:docPr id="1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1B868022">
                          <w:pPr>
                            <w:pStyle w:val="7"/>
                            <w:spacing w:before="10" w:after="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9" o:spid="_x0000_s1026" o:spt="1" style="position:absolute;left:0pt;margin-left:543.95pt;margin-top:787.5pt;height:15.3pt;width:1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IrCl2AAAAA8BAAAPAAAAAAAAAAEAIAAAACIAAABkcnMvZG93bnJldi54bWxQSwEC&#10;FAAUAAAACACHTuJADOAnSrsBAACIAwAADgAAAAAAAAABACAAAAAnAQAAZHJzL2Uyb0RvYy54bWxQ&#10;SwUGAAAAAAYABgBZAQAAVAUAAAAA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1B868022">
                    <w:pPr>
                      <w:pStyle w:val="7"/>
                      <w:spacing w:before="10" w:after="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5EF337B7">
      <w:pPr>
        <w:pStyle w:val="12"/>
      </w:pPr>
      <w:r>
        <w:rPr>
          <w:rStyle w:val="19"/>
        </w:rPr>
        <w:footnoteRef/>
      </w:r>
      <w:r>
        <w:t xml:space="preserve"> Técnicas da Gerência de Vigilância Ambiental e Saúde do Trabalhador da SUVISA/SES/GO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C1E8E">
    <w:pPr>
      <w:pStyle w:val="7"/>
      <w:spacing w:line="2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CAC5831"/>
    <w:rsid w:val="2FCE4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uiPriority w:val="0"/>
    <w:rPr>
      <w:vertAlign w:val="superscript"/>
    </w:rPr>
  </w:style>
  <w:style w:type="character" w:styleId="5">
    <w:name w:val="footnote reference"/>
    <w:uiPriority w:val="0"/>
    <w:rPr>
      <w:vertAlign w:val="superscript"/>
    </w:rPr>
  </w:style>
  <w:style w:type="paragraph" w:styleId="6">
    <w:name w:val="List"/>
    <w:basedOn w:val="7"/>
    <w:uiPriority w:val="0"/>
    <w:rPr>
      <w:rFonts w:cs="Arial"/>
    </w:rPr>
  </w:style>
  <w:style w:type="paragraph" w:styleId="7">
    <w:name w:val="Body Text"/>
    <w:basedOn w:val="1"/>
    <w:link w:val="13"/>
    <w:qFormat/>
    <w:uiPriority w:val="1"/>
    <w:pPr>
      <w:widowControl w:val="0"/>
      <w:suppressAutoHyphens/>
      <w:spacing w:before="0" w:after="0" w:line="240" w:lineRule="auto"/>
    </w:pPr>
    <w:rPr>
      <w:rFonts w:ascii="Calibri" w:hAnsi="Calibri" w:eastAsia="Calibri" w:cs="Calibri"/>
      <w:sz w:val="24"/>
      <w:szCs w:val="24"/>
      <w:lang w:val="pt-PT"/>
    </w:rPr>
  </w:style>
  <w:style w:type="paragraph" w:styleId="8">
    <w:name w:val="endnote text"/>
    <w:basedOn w:val="1"/>
    <w:link w:val="16"/>
    <w:semiHidden/>
    <w:unhideWhenUsed/>
    <w:uiPriority w:val="99"/>
    <w:pPr>
      <w:spacing w:before="0"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0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footnote text"/>
    <w:basedOn w:val="1"/>
    <w:link w:val="18"/>
    <w:semiHidden/>
    <w:unhideWhenUsed/>
    <w:uiPriority w:val="99"/>
    <w:pPr>
      <w:spacing w:before="0" w:after="0" w:line="240" w:lineRule="auto"/>
    </w:pPr>
    <w:rPr>
      <w:sz w:val="20"/>
      <w:szCs w:val="20"/>
    </w:rPr>
  </w:style>
  <w:style w:type="character" w:customStyle="1" w:styleId="13">
    <w:name w:val="Corpo de texto Char"/>
    <w:basedOn w:val="2"/>
    <w:link w:val="7"/>
    <w:qFormat/>
    <w:uiPriority w:val="1"/>
    <w:rPr>
      <w:rFonts w:ascii="Calibri" w:hAnsi="Calibri" w:eastAsia="Calibri" w:cs="Calibri"/>
      <w:sz w:val="24"/>
      <w:szCs w:val="24"/>
      <w:lang w:val="pt-PT"/>
    </w:rPr>
  </w:style>
  <w:style w:type="character" w:customStyle="1" w:styleId="14">
    <w:name w:val="Cabeçalho Char"/>
    <w:basedOn w:val="2"/>
    <w:link w:val="9"/>
    <w:qFormat/>
    <w:uiPriority w:val="99"/>
  </w:style>
  <w:style w:type="character" w:customStyle="1" w:styleId="15">
    <w:name w:val="Rodapé Char"/>
    <w:basedOn w:val="2"/>
    <w:link w:val="10"/>
    <w:qFormat/>
    <w:uiPriority w:val="99"/>
  </w:style>
  <w:style w:type="character" w:customStyle="1" w:styleId="16">
    <w:name w:val="Texto de nota de fim Char"/>
    <w:basedOn w:val="2"/>
    <w:link w:val="8"/>
    <w:semiHidden/>
    <w:qFormat/>
    <w:uiPriority w:val="99"/>
    <w:rPr>
      <w:sz w:val="20"/>
      <w:szCs w:val="20"/>
    </w:rPr>
  </w:style>
  <w:style w:type="character" w:customStyle="1" w:styleId="17">
    <w:name w:val="Caracteres de nota de fim"/>
    <w:semiHidden/>
    <w:unhideWhenUsed/>
    <w:qFormat/>
    <w:uiPriority w:val="99"/>
    <w:rPr>
      <w:vertAlign w:val="superscript"/>
    </w:rPr>
  </w:style>
  <w:style w:type="character" w:customStyle="1" w:styleId="18">
    <w:name w:val="Texto de nota de rodapé Char"/>
    <w:basedOn w:val="2"/>
    <w:link w:val="12"/>
    <w:semiHidden/>
    <w:qFormat/>
    <w:uiPriority w:val="99"/>
    <w:rPr>
      <w:sz w:val="20"/>
      <w:szCs w:val="20"/>
    </w:rPr>
  </w:style>
  <w:style w:type="character" w:customStyle="1" w:styleId="19">
    <w:name w:val="Caracteres de nota de rodapé"/>
    <w:semiHidden/>
    <w:unhideWhenUsed/>
    <w:qFormat/>
    <w:uiPriority w:val="99"/>
    <w:rPr>
      <w:vertAlign w:val="superscript"/>
    </w:rPr>
  </w:style>
  <w:style w:type="paragraph" w:customStyle="1" w:styleId="20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onteúdo do quadro"/>
    <w:basedOn w:val="1"/>
    <w:qFormat/>
    <w:uiPriority w:val="0"/>
    <w:pPr>
      <w:widowControl w:val="0"/>
      <w:suppressAutoHyphens/>
      <w:spacing w:before="0" w:after="0" w:line="240" w:lineRule="auto"/>
    </w:pPr>
    <w:rPr>
      <w:rFonts w:cs="Calibri"/>
      <w:lang w:val="pt-PT"/>
    </w:rPr>
  </w:style>
  <w:style w:type="paragraph" w:styleId="23">
    <w:name w:val="List Paragraph"/>
    <w:basedOn w:val="1"/>
    <w:qFormat/>
    <w:uiPriority w:val="1"/>
    <w:pPr>
      <w:widowControl w:val="0"/>
      <w:suppressAutoHyphens/>
      <w:spacing w:before="0" w:after="0" w:line="240" w:lineRule="auto"/>
      <w:ind w:left="233"/>
    </w:pPr>
    <w:rPr>
      <w:rFonts w:ascii="Calibri" w:hAnsi="Calibri" w:eastAsia="Calibri" w:cs="Calibri"/>
      <w:lang w:val="pt-PT"/>
    </w:rPr>
  </w:style>
  <w:style w:type="paragraph" w:customStyle="1" w:styleId="24">
    <w:name w:val="Cabeçalho e Rodapé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BF95CA-BD5A-4591-B7FF-8D74050DA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483</Words>
  <Characters>2700</Characters>
  <Paragraphs>10</Paragraphs>
  <TotalTime>23</TotalTime>
  <ScaleCrop>false</ScaleCrop>
  <LinksUpToDate>false</LinksUpToDate>
  <CharactersWithSpaces>3176</CharactersWithSpaces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2023-11-13T16:28:00Z</dcterms:created>
  <dc:creator>Virginia Célia de Barros Oliveira</dc:creator>
  <cp:lastModifiedBy>ednacovem</cp:lastModifiedBy>
  <cp:lastPrinted>2023-06-06T12:45:00Z</cp:lastPrinted>
  <dcterms:modified xsi:type="dcterms:W3CDTF">2025-04-23T17:09:06Z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0C19D8BF925C44958D09FC5780221952_12</vt:lpwstr>
  </property>
</Properties>
</file>