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F14E7" w14:textId="77777777" w:rsidR="0040667E" w:rsidRDefault="00000000">
      <w:pPr>
        <w:pStyle w:val="Ttulo"/>
      </w:pPr>
      <w:r>
        <w:rPr>
          <w:color w:val="312683"/>
        </w:rPr>
        <w:t>EXPERIÊNCIA</w:t>
      </w:r>
      <w:r>
        <w:rPr>
          <w:color w:val="312683"/>
          <w:spacing w:val="-7"/>
        </w:rPr>
        <w:t xml:space="preserve"> </w:t>
      </w:r>
      <w:r>
        <w:rPr>
          <w:color w:val="312683"/>
          <w:spacing w:val="-2"/>
        </w:rPr>
        <w:t>EXITOSA</w:t>
      </w:r>
    </w:p>
    <w:p w14:paraId="33A1C672" w14:textId="0F7DA08D" w:rsidR="0040667E" w:rsidRDefault="00000000" w:rsidP="00370A75">
      <w:pPr>
        <w:pStyle w:val="Ttulo1"/>
        <w:spacing w:before="187" w:line="381" w:lineRule="auto"/>
        <w:ind w:left="1155" w:right="1173" w:hanging="1"/>
        <w:jc w:val="center"/>
        <w:rPr>
          <w:color w:val="312683"/>
        </w:rPr>
      </w:pPr>
      <w:r>
        <w:rPr>
          <w:color w:val="312683"/>
        </w:rPr>
        <w:t>Autor: Cristhiano Henrique de Sousa Assunção Secretário</w:t>
      </w:r>
      <w:r>
        <w:rPr>
          <w:color w:val="312683"/>
          <w:spacing w:val="-6"/>
        </w:rPr>
        <w:t xml:space="preserve"> </w:t>
      </w:r>
      <w:r>
        <w:rPr>
          <w:color w:val="312683"/>
        </w:rPr>
        <w:t>de</w:t>
      </w:r>
      <w:r>
        <w:rPr>
          <w:color w:val="312683"/>
          <w:spacing w:val="-6"/>
        </w:rPr>
        <w:t xml:space="preserve"> </w:t>
      </w:r>
      <w:r>
        <w:rPr>
          <w:color w:val="312683"/>
        </w:rPr>
        <w:t>Saúde</w:t>
      </w:r>
      <w:r>
        <w:rPr>
          <w:color w:val="312683"/>
          <w:spacing w:val="-6"/>
        </w:rPr>
        <w:t xml:space="preserve"> </w:t>
      </w:r>
      <w:r>
        <w:rPr>
          <w:color w:val="312683"/>
        </w:rPr>
        <w:t>do</w:t>
      </w:r>
      <w:r>
        <w:rPr>
          <w:color w:val="312683"/>
          <w:spacing w:val="-5"/>
        </w:rPr>
        <w:t xml:space="preserve"> </w:t>
      </w:r>
      <w:r>
        <w:rPr>
          <w:color w:val="312683"/>
        </w:rPr>
        <w:t>Município</w:t>
      </w:r>
      <w:r>
        <w:rPr>
          <w:color w:val="312683"/>
          <w:spacing w:val="-6"/>
        </w:rPr>
        <w:t xml:space="preserve"> </w:t>
      </w:r>
      <w:r>
        <w:rPr>
          <w:color w:val="312683"/>
        </w:rPr>
        <w:t>de</w:t>
      </w:r>
      <w:r>
        <w:rPr>
          <w:color w:val="312683"/>
          <w:spacing w:val="-5"/>
        </w:rPr>
        <w:t xml:space="preserve"> </w:t>
      </w:r>
      <w:r>
        <w:rPr>
          <w:color w:val="312683"/>
        </w:rPr>
        <w:t>Tartarugalzinho</w:t>
      </w:r>
    </w:p>
    <w:p w14:paraId="44252EC7" w14:textId="77777777" w:rsidR="00370A75" w:rsidRDefault="00370A75" w:rsidP="00370A75">
      <w:pPr>
        <w:pStyle w:val="Ttulo1"/>
        <w:spacing w:before="187" w:line="381" w:lineRule="auto"/>
        <w:ind w:left="1155" w:right="1173" w:hanging="1"/>
        <w:jc w:val="center"/>
      </w:pPr>
    </w:p>
    <w:p w14:paraId="15782192" w14:textId="77777777" w:rsidR="00370A75" w:rsidRPr="00370A75" w:rsidRDefault="00000000" w:rsidP="002B417C">
      <w:pPr>
        <w:pStyle w:val="PargrafodaLista"/>
        <w:numPr>
          <w:ilvl w:val="0"/>
          <w:numId w:val="1"/>
        </w:numPr>
        <w:tabs>
          <w:tab w:val="left" w:pos="335"/>
        </w:tabs>
        <w:spacing w:before="156" w:line="259" w:lineRule="auto"/>
        <w:ind w:right="115" w:firstLine="0"/>
        <w:jc w:val="both"/>
        <w:rPr>
          <w:b/>
          <w:bCs/>
        </w:rPr>
      </w:pPr>
      <w:r w:rsidRPr="002B417C">
        <w:rPr>
          <w:color w:val="312683"/>
          <w:sz w:val="27"/>
        </w:rPr>
        <w:t xml:space="preserve">- </w:t>
      </w:r>
      <w:r w:rsidRPr="002B417C">
        <w:rPr>
          <w:b/>
          <w:bCs/>
          <w:color w:val="312683"/>
          <w:sz w:val="27"/>
        </w:rPr>
        <w:t>Título da experiência</w:t>
      </w:r>
      <w:r w:rsidR="002B417C" w:rsidRPr="002B417C">
        <w:rPr>
          <w:b/>
          <w:bCs/>
          <w:color w:val="312683"/>
          <w:sz w:val="27"/>
        </w:rPr>
        <w:t>:</w:t>
      </w:r>
      <w:r w:rsidR="002B417C">
        <w:rPr>
          <w:b/>
          <w:bCs/>
          <w:color w:val="312683"/>
          <w:sz w:val="27"/>
        </w:rPr>
        <w:t xml:space="preserve"> </w:t>
      </w:r>
    </w:p>
    <w:p w14:paraId="374C8080" w14:textId="77777777" w:rsidR="00370A75" w:rsidRPr="00370A75" w:rsidRDefault="00370A75" w:rsidP="00370A75">
      <w:pPr>
        <w:pStyle w:val="PargrafodaLista"/>
        <w:tabs>
          <w:tab w:val="left" w:pos="335"/>
        </w:tabs>
        <w:spacing w:before="156" w:line="259" w:lineRule="auto"/>
        <w:ind w:left="101" w:right="115" w:firstLine="0"/>
        <w:jc w:val="both"/>
        <w:rPr>
          <w:b/>
          <w:bCs/>
        </w:rPr>
      </w:pPr>
    </w:p>
    <w:p w14:paraId="1A88CDF1" w14:textId="3CAC8F7E" w:rsidR="0040667E" w:rsidRDefault="00000000" w:rsidP="00370A75">
      <w:pPr>
        <w:pStyle w:val="PargrafodaLista"/>
        <w:tabs>
          <w:tab w:val="left" w:pos="335"/>
        </w:tabs>
        <w:spacing w:before="156" w:line="259" w:lineRule="auto"/>
        <w:ind w:left="101" w:right="115" w:firstLine="0"/>
        <w:jc w:val="center"/>
        <w:rPr>
          <w:b/>
          <w:bCs/>
          <w:spacing w:val="-2"/>
        </w:rPr>
      </w:pPr>
      <w:r w:rsidRPr="002B417C">
        <w:rPr>
          <w:b/>
          <w:bCs/>
        </w:rPr>
        <w:t>FORNECIMENTO</w:t>
      </w:r>
      <w:r w:rsidRPr="002B417C">
        <w:rPr>
          <w:b/>
          <w:bCs/>
          <w:spacing w:val="-5"/>
        </w:rPr>
        <w:t xml:space="preserve"> </w:t>
      </w:r>
      <w:r w:rsidRPr="002B417C">
        <w:rPr>
          <w:b/>
          <w:bCs/>
        </w:rPr>
        <w:t>CONTÍNUO</w:t>
      </w:r>
      <w:r w:rsidRPr="002B417C">
        <w:rPr>
          <w:b/>
          <w:bCs/>
          <w:spacing w:val="-5"/>
        </w:rPr>
        <w:t xml:space="preserve"> </w:t>
      </w:r>
      <w:r w:rsidRPr="002B417C">
        <w:rPr>
          <w:b/>
          <w:bCs/>
        </w:rPr>
        <w:t>DE</w:t>
      </w:r>
      <w:r w:rsidRPr="002B417C">
        <w:rPr>
          <w:b/>
          <w:bCs/>
          <w:spacing w:val="-4"/>
        </w:rPr>
        <w:t xml:space="preserve"> </w:t>
      </w:r>
      <w:r w:rsidRPr="002B417C">
        <w:rPr>
          <w:b/>
          <w:bCs/>
          <w:spacing w:val="-2"/>
        </w:rPr>
        <w:t>MEDICAMENTOS</w:t>
      </w:r>
    </w:p>
    <w:p w14:paraId="64D01677" w14:textId="77777777" w:rsidR="00370A75" w:rsidRPr="002B417C" w:rsidRDefault="00370A75" w:rsidP="00370A75">
      <w:pPr>
        <w:pStyle w:val="PargrafodaLista"/>
        <w:tabs>
          <w:tab w:val="left" w:pos="335"/>
        </w:tabs>
        <w:spacing w:before="156" w:line="259" w:lineRule="auto"/>
        <w:ind w:left="101" w:right="115" w:firstLine="0"/>
        <w:jc w:val="center"/>
        <w:rPr>
          <w:b/>
          <w:bCs/>
        </w:rPr>
      </w:pPr>
    </w:p>
    <w:p w14:paraId="0D51592A" w14:textId="4D07C96C" w:rsidR="0040667E" w:rsidRPr="00370A75" w:rsidRDefault="00000000">
      <w:pPr>
        <w:pStyle w:val="Ttulo1"/>
        <w:numPr>
          <w:ilvl w:val="0"/>
          <w:numId w:val="1"/>
        </w:numPr>
        <w:tabs>
          <w:tab w:val="left" w:pos="326"/>
        </w:tabs>
        <w:spacing w:before="185"/>
        <w:ind w:left="326" w:hanging="225"/>
        <w:rPr>
          <w:b/>
          <w:bCs/>
        </w:rPr>
      </w:pPr>
      <w:r w:rsidRPr="00370A75">
        <w:rPr>
          <w:b/>
          <w:bCs/>
          <w:color w:val="312683"/>
        </w:rPr>
        <w:t>-</w:t>
      </w:r>
      <w:r w:rsidRPr="00370A75">
        <w:rPr>
          <w:b/>
          <w:bCs/>
          <w:color w:val="312683"/>
          <w:spacing w:val="-4"/>
        </w:rPr>
        <w:t xml:space="preserve"> </w:t>
      </w:r>
      <w:r w:rsidRPr="00370A75">
        <w:rPr>
          <w:b/>
          <w:bCs/>
          <w:color w:val="312683"/>
        </w:rPr>
        <w:t>Apresentação</w:t>
      </w:r>
      <w:r w:rsidRPr="00370A75">
        <w:rPr>
          <w:b/>
          <w:bCs/>
          <w:color w:val="312683"/>
          <w:spacing w:val="-3"/>
        </w:rPr>
        <w:t xml:space="preserve"> </w:t>
      </w:r>
    </w:p>
    <w:p w14:paraId="04D66618" w14:textId="77777777" w:rsidR="0040667E" w:rsidRPr="002B417C" w:rsidRDefault="00000000" w:rsidP="003B6EE9">
      <w:pPr>
        <w:pStyle w:val="Corpodetexto"/>
        <w:spacing w:line="360" w:lineRule="auto"/>
        <w:ind w:left="102" w:right="119" w:firstLine="720"/>
        <w:rPr>
          <w:sz w:val="24"/>
          <w:szCs w:val="24"/>
        </w:rPr>
      </w:pPr>
      <w:r w:rsidRPr="002B417C">
        <w:rPr>
          <w:sz w:val="24"/>
          <w:szCs w:val="24"/>
        </w:rPr>
        <w:t>Consulta acerca da possibilidade de contrato de fornecimento de medicamentos ser enquadrado como de natureza contínua para fins da aplicação do disposto no art. 57, II, da Lei nº 8.666/93.</w:t>
      </w:r>
    </w:p>
    <w:p w14:paraId="30176549" w14:textId="475A502B" w:rsidR="0040667E" w:rsidRPr="00370A75" w:rsidRDefault="00000000">
      <w:pPr>
        <w:pStyle w:val="Ttulo1"/>
        <w:numPr>
          <w:ilvl w:val="0"/>
          <w:numId w:val="1"/>
        </w:numPr>
        <w:tabs>
          <w:tab w:val="left" w:pos="326"/>
        </w:tabs>
        <w:ind w:left="326" w:hanging="225"/>
        <w:rPr>
          <w:b/>
          <w:bCs/>
          <w:sz w:val="24"/>
          <w:szCs w:val="24"/>
        </w:rPr>
      </w:pPr>
      <w:r w:rsidRPr="00370A75">
        <w:rPr>
          <w:b/>
          <w:bCs/>
          <w:color w:val="312683"/>
          <w:sz w:val="24"/>
          <w:szCs w:val="24"/>
        </w:rPr>
        <w:t>-</w:t>
      </w:r>
      <w:r w:rsidRPr="00370A75">
        <w:rPr>
          <w:b/>
          <w:bCs/>
          <w:color w:val="312683"/>
          <w:spacing w:val="-4"/>
          <w:sz w:val="24"/>
          <w:szCs w:val="24"/>
        </w:rPr>
        <w:t xml:space="preserve"> </w:t>
      </w:r>
      <w:r w:rsidRPr="00370A75">
        <w:rPr>
          <w:b/>
          <w:bCs/>
          <w:color w:val="312683"/>
          <w:sz w:val="24"/>
          <w:szCs w:val="24"/>
        </w:rPr>
        <w:t>Objetivos</w:t>
      </w:r>
      <w:r w:rsidRPr="00370A75">
        <w:rPr>
          <w:b/>
          <w:bCs/>
          <w:color w:val="312683"/>
          <w:spacing w:val="-4"/>
          <w:sz w:val="24"/>
          <w:szCs w:val="24"/>
        </w:rPr>
        <w:t xml:space="preserve"> </w:t>
      </w:r>
    </w:p>
    <w:p w14:paraId="4465D8D6" w14:textId="70CFE0DB" w:rsidR="002A7EC9" w:rsidRDefault="002A7EC9" w:rsidP="003B6EE9">
      <w:pPr>
        <w:pStyle w:val="Corpodetexto"/>
        <w:spacing w:before="159" w:line="360" w:lineRule="auto"/>
        <w:ind w:left="102" w:right="119" w:firstLine="720"/>
        <w:rPr>
          <w:sz w:val="24"/>
          <w:szCs w:val="24"/>
        </w:rPr>
      </w:pPr>
      <w:r>
        <w:rPr>
          <w:sz w:val="24"/>
          <w:szCs w:val="24"/>
        </w:rPr>
        <w:t>B</w:t>
      </w:r>
      <w:r w:rsidRPr="002A7EC9">
        <w:rPr>
          <w:sz w:val="24"/>
          <w:szCs w:val="24"/>
        </w:rPr>
        <w:t>uscar orientação jurídica sobre a possibilidade de elaborar um contrato administrativo de fornecimento, considerando a necessidade de garantir o abastecimento contínuo de medicamentos nas Unidades Básicas de Saúde (UBSs) do município. O processo licitatório, que dura em média nove meses para ser concluído devido aos trâmites legais, apresenta riscos ao atendimento, uma vez que a medicação é um item indispensável na atenção primária à saúde, sendo um dos principais componentes do custo financeiro, devido à sua habitualidade e essencialidade. Avaliar a viabilidade desse contrato é crucial para assegurar a continuidade dos serviços e evitar desabastecimentos que comprometam a assistência à população.</w:t>
      </w:r>
    </w:p>
    <w:p w14:paraId="1C6D6C97" w14:textId="1DE3B758" w:rsidR="0040667E" w:rsidRDefault="002A7EC9" w:rsidP="003B6EE9">
      <w:pPr>
        <w:pStyle w:val="Corpodetexto"/>
        <w:spacing w:before="159" w:line="360" w:lineRule="auto"/>
        <w:ind w:left="102" w:right="119" w:firstLine="720"/>
        <w:rPr>
          <w:sz w:val="24"/>
          <w:szCs w:val="24"/>
        </w:rPr>
      </w:pPr>
      <w:r w:rsidRPr="002A7EC9">
        <w:rPr>
          <w:sz w:val="24"/>
          <w:szCs w:val="24"/>
        </w:rPr>
        <w:t>A Secretaria de Saúde tem a intenção de elaborar um contrato administrativo para se beneficiar das disposições previstas no art. 57, II, da Lei nº 8.666/93. Tal medida permitiria a prorrogação do fornecimento de medicamentos por iguais e sucessivos períodos, visando à obtenção de preços e condições mais vantajosas para a administração, com o limite máximo de sessenta meses. A estratégia busca garantir a continuidade do abastecimento das Unidades Básicas de Saúde (UBSs) do município, assegurando que itens essenciais para a atenção primária à saúde estejam disponíveis de forma regular, evitando interrupções devido aos trâmites prolongados dos processos licitatórios</w:t>
      </w:r>
      <w:r w:rsidR="00000000" w:rsidRPr="002B417C">
        <w:rPr>
          <w:sz w:val="24"/>
          <w:szCs w:val="24"/>
        </w:rPr>
        <w:t>.</w:t>
      </w:r>
    </w:p>
    <w:p w14:paraId="10589C50" w14:textId="77777777" w:rsidR="00370A75" w:rsidRPr="002B417C" w:rsidRDefault="00370A75" w:rsidP="003B6EE9">
      <w:pPr>
        <w:pStyle w:val="Corpodetexto"/>
        <w:spacing w:before="159" w:line="360" w:lineRule="auto"/>
        <w:ind w:left="102" w:right="119" w:firstLine="720"/>
        <w:rPr>
          <w:sz w:val="24"/>
          <w:szCs w:val="24"/>
        </w:rPr>
      </w:pPr>
    </w:p>
    <w:p w14:paraId="2CEB9222" w14:textId="6EC266FF" w:rsidR="0040667E" w:rsidRPr="00370A75" w:rsidRDefault="00000000">
      <w:pPr>
        <w:pStyle w:val="Ttulo1"/>
        <w:numPr>
          <w:ilvl w:val="0"/>
          <w:numId w:val="1"/>
        </w:numPr>
        <w:tabs>
          <w:tab w:val="left" w:pos="326"/>
        </w:tabs>
        <w:spacing w:before="162"/>
        <w:ind w:left="326" w:hanging="225"/>
        <w:rPr>
          <w:b/>
          <w:bCs/>
          <w:sz w:val="24"/>
          <w:szCs w:val="24"/>
        </w:rPr>
      </w:pPr>
      <w:r w:rsidRPr="00370A75">
        <w:rPr>
          <w:b/>
          <w:bCs/>
          <w:color w:val="312683"/>
          <w:sz w:val="24"/>
          <w:szCs w:val="24"/>
        </w:rPr>
        <w:lastRenderedPageBreak/>
        <w:t>-</w:t>
      </w:r>
      <w:r w:rsidRPr="00370A75">
        <w:rPr>
          <w:b/>
          <w:bCs/>
          <w:color w:val="312683"/>
          <w:spacing w:val="-3"/>
          <w:sz w:val="24"/>
          <w:szCs w:val="24"/>
        </w:rPr>
        <w:t xml:space="preserve"> </w:t>
      </w:r>
      <w:r w:rsidRPr="00370A75">
        <w:rPr>
          <w:b/>
          <w:bCs/>
          <w:color w:val="312683"/>
          <w:sz w:val="24"/>
          <w:szCs w:val="24"/>
        </w:rPr>
        <w:t>Metodologia</w:t>
      </w:r>
      <w:r w:rsidRPr="00370A75">
        <w:rPr>
          <w:b/>
          <w:bCs/>
          <w:color w:val="312683"/>
          <w:spacing w:val="-5"/>
          <w:sz w:val="24"/>
          <w:szCs w:val="24"/>
        </w:rPr>
        <w:t xml:space="preserve"> </w:t>
      </w:r>
    </w:p>
    <w:p w14:paraId="6451DB72" w14:textId="741CD1A0" w:rsidR="0040667E" w:rsidRPr="002B417C" w:rsidRDefault="003B6EE9" w:rsidP="003B6EE9">
      <w:pPr>
        <w:pStyle w:val="Corpodetexto"/>
        <w:spacing w:line="360" w:lineRule="auto"/>
        <w:ind w:left="102" w:right="113" w:firstLine="720"/>
        <w:rPr>
          <w:sz w:val="24"/>
          <w:szCs w:val="24"/>
        </w:rPr>
      </w:pPr>
      <w:r w:rsidRPr="003B6EE9">
        <w:rPr>
          <w:sz w:val="24"/>
          <w:szCs w:val="24"/>
        </w:rPr>
        <w:t>Para a elaboração deste estudo, foi utilizada uma consulta escrita com fundamentação baseada em jurisprudência do Tribunal de Contas da União (TCU) e de outros Tribunais de Contas Estaduais, além de uma revisão doutrinária. A pesquisa foi conduzida por meio de acesso a acervos virtuais, livros jurídicos e outros materiais especializados, permitindo uma análise detalhada das normativas aplicáveis e garantindo a consistência legal da orientação proposta. Dessa forma, foi possível reunir argumentos sólidos e embasados para suportar a tomada de decisão</w:t>
      </w:r>
      <w:r w:rsidR="00000000" w:rsidRPr="002B417C">
        <w:rPr>
          <w:sz w:val="24"/>
          <w:szCs w:val="24"/>
        </w:rPr>
        <w:t>.</w:t>
      </w:r>
    </w:p>
    <w:p w14:paraId="335C8DFD" w14:textId="32F63BA0" w:rsidR="0040667E" w:rsidRPr="00370A75" w:rsidRDefault="00000000">
      <w:pPr>
        <w:pStyle w:val="Ttulo1"/>
        <w:numPr>
          <w:ilvl w:val="0"/>
          <w:numId w:val="1"/>
        </w:numPr>
        <w:tabs>
          <w:tab w:val="left" w:pos="326"/>
        </w:tabs>
        <w:ind w:left="326" w:hanging="225"/>
        <w:rPr>
          <w:b/>
          <w:bCs/>
          <w:sz w:val="24"/>
          <w:szCs w:val="24"/>
        </w:rPr>
      </w:pPr>
      <w:r w:rsidRPr="00370A75">
        <w:rPr>
          <w:b/>
          <w:bCs/>
          <w:color w:val="312683"/>
          <w:sz w:val="24"/>
          <w:szCs w:val="24"/>
        </w:rPr>
        <w:t>-</w:t>
      </w:r>
      <w:r w:rsidRPr="00370A75">
        <w:rPr>
          <w:b/>
          <w:bCs/>
          <w:color w:val="312683"/>
          <w:spacing w:val="-4"/>
          <w:sz w:val="24"/>
          <w:szCs w:val="24"/>
        </w:rPr>
        <w:t xml:space="preserve"> </w:t>
      </w:r>
      <w:r w:rsidRPr="00370A75">
        <w:rPr>
          <w:b/>
          <w:bCs/>
          <w:color w:val="312683"/>
          <w:sz w:val="24"/>
          <w:szCs w:val="24"/>
        </w:rPr>
        <w:t>Resultados</w:t>
      </w:r>
    </w:p>
    <w:p w14:paraId="00BFFA22" w14:textId="2A6BD544" w:rsidR="0040667E" w:rsidRDefault="007F0D6B" w:rsidP="007F0D6B">
      <w:pPr>
        <w:pStyle w:val="Corpodetexto"/>
        <w:spacing w:line="36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F0D6B">
        <w:rPr>
          <w:sz w:val="24"/>
          <w:szCs w:val="24"/>
        </w:rPr>
        <w:t>Os resultados obtidos a partir da análise indicam os seguintes pontos:</w:t>
      </w:r>
    </w:p>
    <w:p w14:paraId="03F30880" w14:textId="77777777" w:rsidR="007F0D6B" w:rsidRPr="007F0D6B" w:rsidRDefault="007F0D6B" w:rsidP="007F0D6B">
      <w:pPr>
        <w:pStyle w:val="Corpodetexto"/>
        <w:spacing w:line="360" w:lineRule="auto"/>
        <w:ind w:right="114"/>
        <w:rPr>
          <w:sz w:val="24"/>
          <w:szCs w:val="24"/>
          <w:lang w:val="pt-BR"/>
        </w:rPr>
      </w:pPr>
      <w:r w:rsidRPr="007F0D6B">
        <w:rPr>
          <w:sz w:val="24"/>
          <w:szCs w:val="24"/>
          <w:lang w:val="pt-BR"/>
        </w:rPr>
        <w:t xml:space="preserve">a) </w:t>
      </w:r>
      <w:r w:rsidRPr="007F0D6B">
        <w:rPr>
          <w:b/>
          <w:bCs/>
          <w:sz w:val="24"/>
          <w:szCs w:val="24"/>
          <w:lang w:val="pt-BR"/>
        </w:rPr>
        <w:t>Essencialidade</w:t>
      </w:r>
      <w:r w:rsidRPr="007F0D6B">
        <w:rPr>
          <w:sz w:val="24"/>
          <w:szCs w:val="24"/>
          <w:lang w:val="pt-BR"/>
        </w:rPr>
        <w:t>: A essencialidade está relacionada à importância que determinado bem ou serviço possui para a coletividade, sendo que sua ausência pode causar prejuízos graves à população.</w:t>
      </w:r>
    </w:p>
    <w:p w14:paraId="1D99BA8B" w14:textId="77777777" w:rsidR="007F0D6B" w:rsidRPr="007F0D6B" w:rsidRDefault="007F0D6B" w:rsidP="007F0D6B">
      <w:pPr>
        <w:pStyle w:val="Corpodetexto"/>
        <w:spacing w:line="360" w:lineRule="auto"/>
        <w:ind w:right="114"/>
        <w:rPr>
          <w:sz w:val="24"/>
          <w:szCs w:val="24"/>
          <w:lang w:val="pt-BR"/>
        </w:rPr>
      </w:pPr>
      <w:r w:rsidRPr="007F0D6B">
        <w:rPr>
          <w:sz w:val="24"/>
          <w:szCs w:val="24"/>
          <w:lang w:val="pt-BR"/>
        </w:rPr>
        <w:t xml:space="preserve">b) </w:t>
      </w:r>
      <w:r w:rsidRPr="007F0D6B">
        <w:rPr>
          <w:b/>
          <w:bCs/>
          <w:sz w:val="24"/>
          <w:szCs w:val="24"/>
          <w:lang w:val="pt-BR"/>
        </w:rPr>
        <w:t>Permanência</w:t>
      </w:r>
      <w:r w:rsidRPr="007F0D6B">
        <w:rPr>
          <w:sz w:val="24"/>
          <w:szCs w:val="24"/>
          <w:lang w:val="pt-BR"/>
        </w:rPr>
        <w:t>: Refere-se à necessidade contínua e não eventual do serviço ou fornecimento do bem, caracterizando-se por ser demandado regularmente.</w:t>
      </w:r>
    </w:p>
    <w:p w14:paraId="2D962822" w14:textId="77777777" w:rsidR="007F0D6B" w:rsidRPr="007F0D6B" w:rsidRDefault="007F0D6B" w:rsidP="007F0D6B">
      <w:pPr>
        <w:pStyle w:val="Corpodetexto"/>
        <w:spacing w:line="360" w:lineRule="auto"/>
        <w:ind w:right="114"/>
        <w:rPr>
          <w:sz w:val="24"/>
          <w:szCs w:val="24"/>
          <w:lang w:val="pt-BR"/>
        </w:rPr>
      </w:pPr>
      <w:r w:rsidRPr="007F0D6B">
        <w:rPr>
          <w:sz w:val="24"/>
          <w:szCs w:val="24"/>
          <w:lang w:val="pt-BR"/>
        </w:rPr>
        <w:t xml:space="preserve">c) </w:t>
      </w:r>
      <w:r w:rsidRPr="007F0D6B">
        <w:rPr>
          <w:b/>
          <w:bCs/>
          <w:sz w:val="24"/>
          <w:szCs w:val="24"/>
          <w:lang w:val="pt-BR"/>
        </w:rPr>
        <w:t>Posicionamento do TCU</w:t>
      </w:r>
      <w:r w:rsidRPr="007F0D6B">
        <w:rPr>
          <w:sz w:val="24"/>
          <w:szCs w:val="24"/>
          <w:lang w:val="pt-BR"/>
        </w:rPr>
        <w:t>: O Tribunal de Contas da União considera serviço contínuo aquele que é, simultaneamente, essencial e demandado de forma constante, conforme sua jurisprudência.</w:t>
      </w:r>
    </w:p>
    <w:p w14:paraId="748E7EAF" w14:textId="77777777" w:rsidR="007F0D6B" w:rsidRPr="007F0D6B" w:rsidRDefault="007F0D6B" w:rsidP="007F0D6B">
      <w:pPr>
        <w:pStyle w:val="Corpodetexto"/>
        <w:spacing w:line="360" w:lineRule="auto"/>
        <w:ind w:right="114"/>
        <w:rPr>
          <w:sz w:val="24"/>
          <w:szCs w:val="24"/>
          <w:lang w:val="pt-BR"/>
        </w:rPr>
      </w:pPr>
      <w:r w:rsidRPr="007F0D6B">
        <w:rPr>
          <w:sz w:val="24"/>
          <w:szCs w:val="24"/>
          <w:lang w:val="pt-BR"/>
        </w:rPr>
        <w:t xml:space="preserve">d) </w:t>
      </w:r>
      <w:r w:rsidRPr="007F0D6B">
        <w:rPr>
          <w:b/>
          <w:bCs/>
          <w:sz w:val="24"/>
          <w:szCs w:val="24"/>
          <w:lang w:val="pt-BR"/>
        </w:rPr>
        <w:t>Fornecimento de Medicamentos</w:t>
      </w:r>
      <w:r w:rsidRPr="007F0D6B">
        <w:rPr>
          <w:sz w:val="24"/>
          <w:szCs w:val="24"/>
          <w:lang w:val="pt-BR"/>
        </w:rPr>
        <w:t>: A distribuição de medicamentos é parte indissociável do serviço básico de saúde prestado pelo município. Por razões evidentes, não pode haver interrupção nesse fornecimento, uma vez que qualquer descontinuidade pode comprometer seriamente o atendimento à população.</w:t>
      </w:r>
    </w:p>
    <w:p w14:paraId="5F771139" w14:textId="05E14D20" w:rsidR="007F0D6B" w:rsidRPr="007F0D6B" w:rsidRDefault="007F0D6B" w:rsidP="007F0D6B">
      <w:pPr>
        <w:pStyle w:val="Corpodetexto"/>
        <w:spacing w:line="360" w:lineRule="auto"/>
        <w:ind w:left="102" w:right="113" w:firstLine="720"/>
        <w:rPr>
          <w:sz w:val="24"/>
          <w:szCs w:val="24"/>
          <w:lang w:val="pt-BR"/>
        </w:rPr>
      </w:pPr>
      <w:r w:rsidRPr="007F0D6B">
        <w:rPr>
          <w:sz w:val="24"/>
          <w:szCs w:val="24"/>
          <w:lang w:val="pt-BR"/>
        </w:rPr>
        <w:t>Esses pontos reforçam a necessidade de medidas que garantam a continuidade do fornecimento de medicamentos, dada a sua natureza essencial e permanente</w:t>
      </w:r>
      <w:r>
        <w:rPr>
          <w:sz w:val="24"/>
          <w:szCs w:val="24"/>
          <w:lang w:val="pt-BR"/>
        </w:rPr>
        <w:t>.</w:t>
      </w:r>
    </w:p>
    <w:p w14:paraId="5E5A3724" w14:textId="354480D0" w:rsidR="00370A75" w:rsidRPr="00370A75" w:rsidRDefault="00370A75" w:rsidP="00370A75">
      <w:pPr>
        <w:pStyle w:val="Ttulo1"/>
        <w:numPr>
          <w:ilvl w:val="0"/>
          <w:numId w:val="1"/>
        </w:numPr>
        <w:tabs>
          <w:tab w:val="left" w:pos="326"/>
        </w:tabs>
        <w:spacing w:before="78"/>
        <w:ind w:left="326" w:hanging="225"/>
        <w:jc w:val="both"/>
        <w:rPr>
          <w:b/>
          <w:bCs/>
          <w:sz w:val="24"/>
          <w:szCs w:val="24"/>
        </w:rPr>
      </w:pPr>
      <w:r w:rsidRPr="00370A75">
        <w:rPr>
          <w:b/>
          <w:bCs/>
          <w:color w:val="312683"/>
          <w:sz w:val="24"/>
          <w:szCs w:val="24"/>
        </w:rPr>
        <w:t>–</w:t>
      </w:r>
      <w:r w:rsidR="00000000" w:rsidRPr="00370A75">
        <w:rPr>
          <w:b/>
          <w:bCs/>
          <w:color w:val="312683"/>
          <w:spacing w:val="-5"/>
          <w:sz w:val="24"/>
          <w:szCs w:val="24"/>
        </w:rPr>
        <w:t xml:space="preserve"> </w:t>
      </w:r>
      <w:r w:rsidR="00000000" w:rsidRPr="00370A75">
        <w:rPr>
          <w:b/>
          <w:bCs/>
          <w:color w:val="312683"/>
          <w:sz w:val="24"/>
          <w:szCs w:val="24"/>
        </w:rPr>
        <w:t>Conclusões</w:t>
      </w:r>
    </w:p>
    <w:p w14:paraId="4445314B" w14:textId="77777777" w:rsidR="00370A75" w:rsidRDefault="00370A75" w:rsidP="00370A75">
      <w:pPr>
        <w:pStyle w:val="Corpodetexto"/>
        <w:spacing w:before="185" w:line="360" w:lineRule="auto"/>
        <w:ind w:left="102" w:right="113" w:firstLine="720"/>
        <w:rPr>
          <w:sz w:val="24"/>
          <w:szCs w:val="24"/>
          <w:lang w:val="pt-BR"/>
        </w:rPr>
      </w:pPr>
      <w:r w:rsidRPr="00370A75">
        <w:rPr>
          <w:sz w:val="24"/>
          <w:szCs w:val="24"/>
          <w:lang w:val="pt-BR"/>
        </w:rPr>
        <w:t>Diante do risco de interrupção de um serviço essencial à coletividade, como o fornecimento de medicamentos, e considerando os custos administrativos elevados envolvidos em novos processos de contratação, verifica-se que, no caso concreto, é viável o enquadramento do contrato de compra de medicamentos como sendo de natureza contínua.</w:t>
      </w:r>
      <w:r>
        <w:rPr>
          <w:sz w:val="24"/>
          <w:szCs w:val="24"/>
          <w:lang w:val="pt-BR"/>
        </w:rPr>
        <w:t xml:space="preserve"> </w:t>
      </w:r>
      <w:r w:rsidRPr="00370A75">
        <w:rPr>
          <w:sz w:val="24"/>
          <w:szCs w:val="24"/>
          <w:lang w:val="pt-BR"/>
        </w:rPr>
        <w:t>Com base nos princípios da supremacia do interesse público e da razoabilidade, é possível afirmar que o contrato administrativo para o fornecimento de</w:t>
      </w:r>
    </w:p>
    <w:p w14:paraId="2946EE38" w14:textId="53E5D89D" w:rsidR="00370A75" w:rsidRPr="00370A75" w:rsidRDefault="00370A75" w:rsidP="00370A75">
      <w:pPr>
        <w:pStyle w:val="Corpodetexto"/>
        <w:spacing w:before="185" w:line="360" w:lineRule="auto"/>
        <w:ind w:left="102" w:right="113"/>
        <w:rPr>
          <w:sz w:val="24"/>
          <w:szCs w:val="24"/>
          <w:lang w:val="pt-BR"/>
        </w:rPr>
      </w:pPr>
      <w:r w:rsidRPr="00370A75">
        <w:rPr>
          <w:sz w:val="24"/>
          <w:szCs w:val="24"/>
          <w:lang w:val="pt-BR"/>
        </w:rPr>
        <w:lastRenderedPageBreak/>
        <w:t xml:space="preserve"> </w:t>
      </w:r>
      <w:r w:rsidRPr="00370A75">
        <w:rPr>
          <w:sz w:val="24"/>
          <w:szCs w:val="24"/>
          <w:lang w:val="pt-BR"/>
        </w:rPr>
        <w:t>medicamentos pode</w:t>
      </w:r>
      <w:r>
        <w:rPr>
          <w:sz w:val="24"/>
          <w:szCs w:val="24"/>
          <w:lang w:val="pt-BR"/>
        </w:rPr>
        <w:t>ndo</w:t>
      </w:r>
      <w:r w:rsidRPr="00370A75">
        <w:rPr>
          <w:sz w:val="24"/>
          <w:szCs w:val="24"/>
          <w:lang w:val="pt-BR"/>
        </w:rPr>
        <w:t xml:space="preserve"> ser prorrogado por até 60 meses, conforme disposto no art. 57, inciso II, da Lei nº 8.666/93. Essa medida visa garantir a continuidade e a eficiência do atendimento na atenção primária à saúde, evitando prejuízos à população e mantendo a regularidade no abastecimento dos insumos indispensáveis ao serviço.</w:t>
      </w:r>
    </w:p>
    <w:p w14:paraId="5D661202" w14:textId="77777777" w:rsidR="002B417C" w:rsidRPr="00370A75" w:rsidRDefault="00000000" w:rsidP="002B417C">
      <w:pPr>
        <w:pStyle w:val="Ttulo1"/>
        <w:numPr>
          <w:ilvl w:val="0"/>
          <w:numId w:val="1"/>
        </w:numPr>
        <w:tabs>
          <w:tab w:val="left" w:pos="367"/>
        </w:tabs>
        <w:spacing w:before="158" w:line="259" w:lineRule="auto"/>
        <w:ind w:right="117" w:firstLine="0"/>
        <w:jc w:val="both"/>
        <w:rPr>
          <w:b/>
          <w:bCs/>
          <w:sz w:val="24"/>
          <w:szCs w:val="24"/>
        </w:rPr>
      </w:pPr>
      <w:r w:rsidRPr="00370A75">
        <w:rPr>
          <w:b/>
          <w:bCs/>
          <w:color w:val="312683"/>
          <w:sz w:val="24"/>
          <w:szCs w:val="24"/>
        </w:rPr>
        <w:t>- Palavras-Chave</w:t>
      </w:r>
      <w:r w:rsidR="002B417C" w:rsidRPr="00370A75">
        <w:rPr>
          <w:b/>
          <w:bCs/>
          <w:color w:val="312683"/>
          <w:sz w:val="24"/>
          <w:szCs w:val="24"/>
        </w:rPr>
        <w:t>:</w:t>
      </w:r>
    </w:p>
    <w:p w14:paraId="1950164E" w14:textId="5D569384" w:rsidR="0040667E" w:rsidRDefault="00000000" w:rsidP="002B417C">
      <w:pPr>
        <w:pStyle w:val="Ttulo1"/>
        <w:tabs>
          <w:tab w:val="left" w:pos="367"/>
        </w:tabs>
        <w:spacing w:before="158" w:line="259" w:lineRule="auto"/>
        <w:ind w:left="101" w:right="117" w:firstLine="0"/>
        <w:jc w:val="both"/>
      </w:pPr>
      <w:r w:rsidRPr="002B417C">
        <w:rPr>
          <w:sz w:val="24"/>
          <w:szCs w:val="24"/>
        </w:rPr>
        <w:t>Medicamento,</w:t>
      </w:r>
      <w:r w:rsidRPr="002B417C">
        <w:rPr>
          <w:spacing w:val="-7"/>
          <w:sz w:val="24"/>
          <w:szCs w:val="24"/>
        </w:rPr>
        <w:t xml:space="preserve"> </w:t>
      </w:r>
      <w:r w:rsidRPr="002B417C">
        <w:rPr>
          <w:sz w:val="24"/>
          <w:szCs w:val="24"/>
        </w:rPr>
        <w:t>fornecime</w:t>
      </w:r>
      <w:r>
        <w:t>nto,</w:t>
      </w:r>
      <w:r w:rsidRPr="002B417C">
        <w:rPr>
          <w:spacing w:val="-7"/>
        </w:rPr>
        <w:t xml:space="preserve"> </w:t>
      </w:r>
      <w:r>
        <w:t>natureza</w:t>
      </w:r>
      <w:r w:rsidRPr="002B417C">
        <w:rPr>
          <w:spacing w:val="-6"/>
        </w:rPr>
        <w:t xml:space="preserve"> </w:t>
      </w:r>
      <w:r w:rsidRPr="002B417C">
        <w:rPr>
          <w:spacing w:val="-2"/>
        </w:rPr>
        <w:t>contínua.</w:t>
      </w:r>
    </w:p>
    <w:sectPr w:rsidR="0040667E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67AB"/>
    <w:multiLevelType w:val="hybridMultilevel"/>
    <w:tmpl w:val="C362FD20"/>
    <w:lvl w:ilvl="0" w:tplc="57E4205A">
      <w:start w:val="1"/>
      <w:numFmt w:val="decimal"/>
      <w:lvlText w:val="%1"/>
      <w:lvlJc w:val="left"/>
      <w:pPr>
        <w:ind w:left="101" w:hanging="235"/>
      </w:pPr>
      <w:rPr>
        <w:rFonts w:ascii="Arial MT" w:eastAsia="Arial MT" w:hAnsi="Arial MT" w:cs="Arial MT" w:hint="default"/>
        <w:b w:val="0"/>
        <w:bCs w:val="0"/>
        <w:i w:val="0"/>
        <w:iCs w:val="0"/>
        <w:color w:val="312683"/>
        <w:spacing w:val="0"/>
        <w:w w:val="100"/>
        <w:sz w:val="27"/>
        <w:szCs w:val="27"/>
        <w:lang w:val="pt-PT" w:eastAsia="en-US" w:bidi="ar-SA"/>
      </w:rPr>
    </w:lvl>
    <w:lvl w:ilvl="1" w:tplc="762E3090">
      <w:numFmt w:val="bullet"/>
      <w:lvlText w:val="•"/>
      <w:lvlJc w:val="left"/>
      <w:pPr>
        <w:ind w:left="962" w:hanging="235"/>
      </w:pPr>
      <w:rPr>
        <w:rFonts w:hint="default"/>
        <w:lang w:val="pt-PT" w:eastAsia="en-US" w:bidi="ar-SA"/>
      </w:rPr>
    </w:lvl>
    <w:lvl w:ilvl="2" w:tplc="5D026922">
      <w:numFmt w:val="bullet"/>
      <w:lvlText w:val="•"/>
      <w:lvlJc w:val="left"/>
      <w:pPr>
        <w:ind w:left="1825" w:hanging="235"/>
      </w:pPr>
      <w:rPr>
        <w:rFonts w:hint="default"/>
        <w:lang w:val="pt-PT" w:eastAsia="en-US" w:bidi="ar-SA"/>
      </w:rPr>
    </w:lvl>
    <w:lvl w:ilvl="3" w:tplc="C978A76A">
      <w:numFmt w:val="bullet"/>
      <w:lvlText w:val="•"/>
      <w:lvlJc w:val="left"/>
      <w:pPr>
        <w:ind w:left="2687" w:hanging="235"/>
      </w:pPr>
      <w:rPr>
        <w:rFonts w:hint="default"/>
        <w:lang w:val="pt-PT" w:eastAsia="en-US" w:bidi="ar-SA"/>
      </w:rPr>
    </w:lvl>
    <w:lvl w:ilvl="4" w:tplc="3632A88C">
      <w:numFmt w:val="bullet"/>
      <w:lvlText w:val="•"/>
      <w:lvlJc w:val="left"/>
      <w:pPr>
        <w:ind w:left="3550" w:hanging="235"/>
      </w:pPr>
      <w:rPr>
        <w:rFonts w:hint="default"/>
        <w:lang w:val="pt-PT" w:eastAsia="en-US" w:bidi="ar-SA"/>
      </w:rPr>
    </w:lvl>
    <w:lvl w:ilvl="5" w:tplc="7BFA929E">
      <w:numFmt w:val="bullet"/>
      <w:lvlText w:val="•"/>
      <w:lvlJc w:val="left"/>
      <w:pPr>
        <w:ind w:left="4413" w:hanging="235"/>
      </w:pPr>
      <w:rPr>
        <w:rFonts w:hint="default"/>
        <w:lang w:val="pt-PT" w:eastAsia="en-US" w:bidi="ar-SA"/>
      </w:rPr>
    </w:lvl>
    <w:lvl w:ilvl="6" w:tplc="340C1328">
      <w:numFmt w:val="bullet"/>
      <w:lvlText w:val="•"/>
      <w:lvlJc w:val="left"/>
      <w:pPr>
        <w:ind w:left="5275" w:hanging="235"/>
      </w:pPr>
      <w:rPr>
        <w:rFonts w:hint="default"/>
        <w:lang w:val="pt-PT" w:eastAsia="en-US" w:bidi="ar-SA"/>
      </w:rPr>
    </w:lvl>
    <w:lvl w:ilvl="7" w:tplc="54C21248">
      <w:numFmt w:val="bullet"/>
      <w:lvlText w:val="•"/>
      <w:lvlJc w:val="left"/>
      <w:pPr>
        <w:ind w:left="6138" w:hanging="235"/>
      </w:pPr>
      <w:rPr>
        <w:rFonts w:hint="default"/>
        <w:lang w:val="pt-PT" w:eastAsia="en-US" w:bidi="ar-SA"/>
      </w:rPr>
    </w:lvl>
    <w:lvl w:ilvl="8" w:tplc="98FEB428">
      <w:numFmt w:val="bullet"/>
      <w:lvlText w:val="•"/>
      <w:lvlJc w:val="left"/>
      <w:pPr>
        <w:ind w:left="7001" w:hanging="235"/>
      </w:pPr>
      <w:rPr>
        <w:rFonts w:hint="default"/>
        <w:lang w:val="pt-PT" w:eastAsia="en-US" w:bidi="ar-SA"/>
      </w:rPr>
    </w:lvl>
  </w:abstractNum>
  <w:num w:numId="1" w16cid:durableId="58059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67E"/>
    <w:rsid w:val="002A7EC9"/>
    <w:rsid w:val="002B417C"/>
    <w:rsid w:val="002B5499"/>
    <w:rsid w:val="0033233E"/>
    <w:rsid w:val="00370A75"/>
    <w:rsid w:val="003B6EE9"/>
    <w:rsid w:val="0040667E"/>
    <w:rsid w:val="00540426"/>
    <w:rsid w:val="007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4AEF"/>
  <w15:docId w15:val="{186D160A-9860-4C33-8442-9B1D0BD0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61"/>
      <w:ind w:left="326" w:hanging="225"/>
      <w:outlineLvl w:val="0"/>
    </w:pPr>
    <w:rPr>
      <w:rFonts w:ascii="Arial MT" w:eastAsia="Arial MT" w:hAnsi="Arial MT" w:cs="Arial MT"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2"/>
      <w:ind w:left="101"/>
      <w:jc w:val="both"/>
    </w:pPr>
  </w:style>
  <w:style w:type="paragraph" w:styleId="Ttulo">
    <w:name w:val="Title"/>
    <w:basedOn w:val="Normal"/>
    <w:uiPriority w:val="10"/>
    <w:qFormat/>
    <w:pPr>
      <w:spacing w:before="78"/>
      <w:ind w:right="1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spacing w:before="161"/>
      <w:ind w:left="326" w:hanging="225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5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5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crist</dc:creator>
  <cp:lastModifiedBy>lobatomariliamelo@gmail.com</cp:lastModifiedBy>
  <cp:revision>6</cp:revision>
  <dcterms:created xsi:type="dcterms:W3CDTF">2024-08-23T13:03:00Z</dcterms:created>
  <dcterms:modified xsi:type="dcterms:W3CDTF">2024-08-27T17:20:00Z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2024-08-23T00:00:00Z</vt:filetime>
  </property>
  <property fmtid="{D5CDD505-2E9C-101B-9397-08002B2CF9AE}" pid="4" name="Producer">
    <vt:lpwstr>Microsoft: Print To PDF</vt:lpwstr>
  </property>
</Properties>
</file>